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59"/>
      </w:tblGrid>
      <w:tr w:rsidR="00D574E2" w:rsidRPr="00D574E2" w14:paraId="2EC52DF3" w14:textId="77777777" w:rsidTr="00826960">
        <w:tc>
          <w:tcPr>
            <w:tcW w:w="8455" w:type="dxa"/>
            <w:gridSpan w:val="2"/>
            <w:shd w:val="clear" w:color="auto" w:fill="2E74B5" w:themeFill="accent1" w:themeFillShade="BF"/>
            <w:hideMark/>
          </w:tcPr>
          <w:p w14:paraId="3A2D78BC" w14:textId="77777777" w:rsidR="00826960" w:rsidRPr="00826960" w:rsidRDefault="00D574E2" w:rsidP="00063D94">
            <w:pPr>
              <w:ind w:left="708" w:hanging="708"/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REGISTRO DE ACTIVIDADES DE TRATAMIENTO</w:t>
            </w:r>
            <w:r w:rsidR="00826960"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e</w:t>
            </w:r>
          </w:p>
          <w:p w14:paraId="7D7D9AFC" w14:textId="77777777" w:rsidR="00D574E2" w:rsidRPr="00826960" w:rsidRDefault="00826960" w:rsidP="00826960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INFORMACIÓN AMPLIADA DE PROTECCIÓN DE DATOS</w:t>
            </w:r>
          </w:p>
          <w:p w14:paraId="56AFBBD1" w14:textId="77777777" w:rsidR="00D574E2" w:rsidRPr="00826960" w:rsidRDefault="00D574E2" w:rsidP="009541A5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En cumplimiento de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l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os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artículo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s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13, 14 y 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30.1 del Reglamento General de Protección de Datos (Reglamento (UE) 2016/679 del Parlamento Europeo y del Consejo de 27 de abril de 2016)</w:t>
            </w:r>
          </w:p>
        </w:tc>
      </w:tr>
      <w:tr w:rsidR="00D574E2" w:rsidRPr="00D574E2" w14:paraId="48CC1556" w14:textId="77777777" w:rsidTr="00826960">
        <w:tc>
          <w:tcPr>
            <w:tcW w:w="1696" w:type="dxa"/>
            <w:shd w:val="clear" w:color="auto" w:fill="DEEAF6" w:themeFill="accent1" w:themeFillTint="33"/>
            <w:hideMark/>
          </w:tcPr>
          <w:p w14:paraId="5D8081C4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Tratamiento</w:t>
            </w:r>
          </w:p>
        </w:tc>
        <w:tc>
          <w:tcPr>
            <w:tcW w:w="6759" w:type="dxa"/>
            <w:hideMark/>
          </w:tcPr>
          <w:p w14:paraId="25FF28C7" w14:textId="0C9390B9" w:rsidR="00D574E2" w:rsidRPr="005B213E" w:rsidRDefault="001F6942" w:rsidP="00A52FEA">
            <w:pPr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Procedimiento para el reconocimiento y mantenimiento de la capacitación del personal que maneje animales con fines de experimentación</w:t>
            </w:r>
            <w:r w:rsidR="00013A40">
              <w:rPr>
                <w:rFonts w:ascii="Calibri" w:eastAsia="Calibri" w:hAnsi="Calibri" w:cs="Calibri"/>
                <w:sz w:val="20"/>
                <w:szCs w:val="16"/>
              </w:rPr>
              <w:t>.</w:t>
            </w:r>
          </w:p>
        </w:tc>
      </w:tr>
      <w:tr w:rsidR="00D574E2" w:rsidRPr="00D574E2" w14:paraId="590AC7CC" w14:textId="77777777" w:rsidTr="00826960">
        <w:tc>
          <w:tcPr>
            <w:tcW w:w="1696" w:type="dxa"/>
            <w:shd w:val="clear" w:color="auto" w:fill="DEEAF6" w:themeFill="accent1" w:themeFillTint="33"/>
            <w:hideMark/>
          </w:tcPr>
          <w:p w14:paraId="585B632D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Responsable del tratamiento</w:t>
            </w:r>
          </w:p>
        </w:tc>
        <w:tc>
          <w:tcPr>
            <w:tcW w:w="6759" w:type="dxa"/>
            <w:hideMark/>
          </w:tcPr>
          <w:p w14:paraId="388B40C7" w14:textId="3495ACFF" w:rsidR="00E87917" w:rsidRDefault="001F6942" w:rsidP="00E87917">
            <w:pPr>
              <w:spacing w:line="240" w:lineRule="atLeast"/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Dirección General de Personal Docente y Ordenación Académica</w:t>
            </w:r>
            <w:r w:rsidR="00E87917">
              <w:rPr>
                <w:rFonts w:ascii="Calibri" w:eastAsia="Calibri" w:hAnsi="Calibri" w:cs="Calibri"/>
                <w:sz w:val="20"/>
                <w:szCs w:val="16"/>
              </w:rPr>
              <w:t xml:space="preserve">. </w:t>
            </w:r>
          </w:p>
          <w:p w14:paraId="0F660CEE" w14:textId="2B9AD7E1" w:rsidR="00D574E2" w:rsidRPr="00E87917" w:rsidRDefault="00E87917" w:rsidP="001F6942">
            <w:pPr>
              <w:spacing w:line="240" w:lineRule="atLeast"/>
              <w:contextualSpacing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C/</w:t>
            </w:r>
            <w:r w:rsidRPr="00D018A9">
              <w:rPr>
                <w:rFonts w:ascii="Calibri" w:eastAsia="Calibri" w:hAnsi="Calibri" w:cs="Calibri"/>
                <w:sz w:val="20"/>
                <w:szCs w:val="16"/>
              </w:rPr>
              <w:t xml:space="preserve"> Vargas nº 53</w:t>
            </w:r>
            <w:r>
              <w:rPr>
                <w:rFonts w:ascii="Calibri" w:eastAsia="Calibri" w:hAnsi="Calibri" w:cs="Calibri"/>
                <w:sz w:val="20"/>
                <w:szCs w:val="16"/>
              </w:rPr>
              <w:t xml:space="preserve">, </w:t>
            </w:r>
            <w:r w:rsidR="001F6942">
              <w:rPr>
                <w:rFonts w:ascii="Calibri" w:eastAsia="Calibri" w:hAnsi="Calibri" w:cs="Calibri"/>
                <w:sz w:val="20"/>
                <w:szCs w:val="16"/>
              </w:rPr>
              <w:t>7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º. 39010. Santander.</w:t>
            </w:r>
          </w:p>
        </w:tc>
      </w:tr>
      <w:tr w:rsidR="00D574E2" w:rsidRPr="00D574E2" w14:paraId="4FDCB1E2" w14:textId="77777777" w:rsidTr="00E87917">
        <w:trPr>
          <w:trHeight w:val="807"/>
        </w:trPr>
        <w:tc>
          <w:tcPr>
            <w:tcW w:w="1696" w:type="dxa"/>
            <w:shd w:val="clear" w:color="auto" w:fill="DEEAF6" w:themeFill="accent1" w:themeFillTint="33"/>
            <w:hideMark/>
          </w:tcPr>
          <w:p w14:paraId="0D9FC5F0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DPD</w:t>
            </w:r>
          </w:p>
        </w:tc>
        <w:tc>
          <w:tcPr>
            <w:tcW w:w="6759" w:type="dxa"/>
            <w:hideMark/>
          </w:tcPr>
          <w:p w14:paraId="45794016" w14:textId="77777777" w:rsidR="00D574E2" w:rsidRPr="009823C1" w:rsidRDefault="00D574E2" w:rsidP="00E87917">
            <w:pPr>
              <w:spacing w:line="240" w:lineRule="atLeast"/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9823C1">
              <w:rPr>
                <w:rFonts w:ascii="Calibri" w:eastAsia="Calibri" w:hAnsi="Calibri" w:cs="Calibri"/>
                <w:sz w:val="20"/>
                <w:szCs w:val="16"/>
              </w:rPr>
              <w:t>Delegada de Protecci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ón de Datos de Centros Docentes</w:t>
            </w:r>
          </w:p>
          <w:p w14:paraId="579C52CC" w14:textId="77777777" w:rsidR="00D574E2" w:rsidRPr="009823C1" w:rsidRDefault="00D574E2" w:rsidP="00E87917">
            <w:pPr>
              <w:spacing w:line="240" w:lineRule="atLeast"/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9823C1">
              <w:rPr>
                <w:rFonts w:ascii="Calibri" w:eastAsia="Calibri" w:hAnsi="Calibri" w:cs="Calibri"/>
                <w:sz w:val="20"/>
                <w:szCs w:val="16"/>
              </w:rPr>
              <w:t>C/V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argas 53, 7º. 39010. Santander.</w:t>
            </w:r>
          </w:p>
          <w:p w14:paraId="23214EE7" w14:textId="77777777" w:rsidR="00D574E2" w:rsidRPr="005B213E" w:rsidRDefault="00D574E2" w:rsidP="00E87917">
            <w:pPr>
              <w:spacing w:line="240" w:lineRule="atLeast"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9823C1">
              <w:rPr>
                <w:rFonts w:ascii="Calibri" w:eastAsia="Calibri" w:hAnsi="Calibri" w:cs="Calibri"/>
                <w:sz w:val="20"/>
                <w:szCs w:val="16"/>
              </w:rPr>
              <w:t>dpdcentrosdocentes@educantabria.es</w:t>
            </w:r>
          </w:p>
        </w:tc>
      </w:tr>
      <w:tr w:rsidR="00D574E2" w:rsidRPr="00D574E2" w14:paraId="4A3E44F6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  <w:hideMark/>
          </w:tcPr>
          <w:p w14:paraId="60A10D42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Finalidad </w:t>
            </w:r>
          </w:p>
        </w:tc>
        <w:tc>
          <w:tcPr>
            <w:tcW w:w="6759" w:type="dxa"/>
            <w:hideMark/>
          </w:tcPr>
          <w:p w14:paraId="1D8674DF" w14:textId="250F1E9F" w:rsidR="006E75EF" w:rsidRPr="00322571" w:rsidRDefault="001F6942" w:rsidP="001F6942">
            <w:pPr>
              <w:spacing w:after="0" w:line="0" w:lineRule="atLeast"/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Gestión del proceso para el reconocimiento y mantenimiento de la capacitación del personal que maneje animales con fines de experimentación.</w:t>
            </w:r>
          </w:p>
        </w:tc>
      </w:tr>
      <w:tr w:rsidR="009C2896" w:rsidRPr="00D574E2" w14:paraId="26DA5672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AE2C97B" w14:textId="6285B888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Legitimación </w:t>
            </w:r>
          </w:p>
        </w:tc>
        <w:tc>
          <w:tcPr>
            <w:tcW w:w="6759" w:type="dxa"/>
          </w:tcPr>
          <w:p w14:paraId="1656D980" w14:textId="0D567555" w:rsidR="00307B5D" w:rsidRDefault="00307B5D" w:rsidP="00307B5D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307B5D">
              <w:rPr>
                <w:rFonts w:ascii="Calibri" w:eastAsia="Calibri" w:hAnsi="Calibri" w:cs="Calibri"/>
                <w:sz w:val="20"/>
                <w:szCs w:val="16"/>
              </w:rPr>
              <w:t xml:space="preserve">RGPD 6.1 c): el tratamiento es necesario para el cumplimiento de una obligación legal aplicable al responsable del tratamiento. </w:t>
            </w:r>
          </w:p>
          <w:p w14:paraId="48DFE331" w14:textId="2CD243F4" w:rsidR="001F6942" w:rsidRPr="00307B5D" w:rsidRDefault="001F6942" w:rsidP="00307B5D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1F6942">
              <w:rPr>
                <w:rFonts w:ascii="Calibri" w:eastAsia="Calibri" w:hAnsi="Calibri" w:cs="Calibri"/>
                <w:sz w:val="20"/>
                <w:szCs w:val="16"/>
              </w:rPr>
              <w:t xml:space="preserve">RGPD 6.1 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e</w:t>
            </w:r>
            <w:r w:rsidRPr="001F6942">
              <w:rPr>
                <w:rFonts w:ascii="Calibri" w:eastAsia="Calibri" w:hAnsi="Calibri" w:cs="Calibri"/>
                <w:sz w:val="20"/>
                <w:szCs w:val="16"/>
              </w:rPr>
              <w:t xml:space="preserve">): el tratamiento es necesario para el cumplimiento de una 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misión</w:t>
            </w:r>
            <w:r w:rsidR="0073002D">
              <w:rPr>
                <w:rFonts w:ascii="Calibri" w:eastAsia="Calibri" w:hAnsi="Calibri" w:cs="Calibri"/>
                <w:sz w:val="20"/>
                <w:szCs w:val="16"/>
              </w:rPr>
              <w:t xml:space="preserve"> realizada en interés público o en el ejercicio de poderes públicos conferidos</w:t>
            </w:r>
            <w:r w:rsidRPr="001F6942">
              <w:rPr>
                <w:rFonts w:ascii="Calibri" w:eastAsia="Calibri" w:hAnsi="Calibri" w:cs="Calibri"/>
                <w:sz w:val="20"/>
                <w:szCs w:val="16"/>
              </w:rPr>
              <w:t xml:space="preserve"> al responsable del tratamiento.</w:t>
            </w:r>
          </w:p>
          <w:p w14:paraId="59582D9A" w14:textId="1CE2C477" w:rsidR="00FE1D92" w:rsidRPr="00A52FEA" w:rsidRDefault="00307B5D" w:rsidP="00307B5D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307B5D">
              <w:rPr>
                <w:rFonts w:ascii="Calibri" w:eastAsia="Calibri" w:hAnsi="Calibri" w:cs="Calibri"/>
                <w:sz w:val="20"/>
                <w:szCs w:val="16"/>
              </w:rPr>
              <w:t>La norma con rango legal habilitante es la Ley 39/2015, de 1 de octubre, del Procedimiento Administrativo Común de las Administraciones Públicas</w:t>
            </w:r>
          </w:p>
        </w:tc>
      </w:tr>
      <w:tr w:rsidR="009C2896" w:rsidRPr="00D574E2" w14:paraId="033386BD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51E862D0" w14:textId="77777777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Categorías de interesados</w:t>
            </w:r>
          </w:p>
        </w:tc>
        <w:tc>
          <w:tcPr>
            <w:tcW w:w="6759" w:type="dxa"/>
          </w:tcPr>
          <w:p w14:paraId="5B23B069" w14:textId="0AA34E68" w:rsidR="009C2896" w:rsidRPr="00D574E2" w:rsidRDefault="0073002D" w:rsidP="009C2896">
            <w:pPr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Personal que maneje animales con fines de experimentación y otros fines científicos, incluyendo la docencia.</w:t>
            </w:r>
          </w:p>
        </w:tc>
      </w:tr>
      <w:tr w:rsidR="009C2896" w:rsidRPr="00D574E2" w14:paraId="07F78DA7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6AC4A4EC" w14:textId="77777777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Categorías de datos personales tratados</w:t>
            </w:r>
          </w:p>
        </w:tc>
        <w:tc>
          <w:tcPr>
            <w:tcW w:w="6759" w:type="dxa"/>
          </w:tcPr>
          <w:p w14:paraId="42ED8510" w14:textId="77777777" w:rsidR="009C2896" w:rsidRDefault="009C2896" w:rsidP="00C83E67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F124EC">
              <w:rPr>
                <w:rFonts w:ascii="Calibri" w:eastAsia="Calibri" w:hAnsi="Calibri" w:cs="Calibri"/>
                <w:sz w:val="20"/>
                <w:szCs w:val="16"/>
              </w:rPr>
              <w:t>Datos</w:t>
            </w:r>
            <w:r w:rsidR="009264F1">
              <w:rPr>
                <w:rFonts w:ascii="Calibri" w:eastAsia="Calibri" w:hAnsi="Calibri" w:cs="Calibri"/>
                <w:sz w:val="20"/>
                <w:szCs w:val="16"/>
              </w:rPr>
              <w:t xml:space="preserve"> identificativos</w:t>
            </w:r>
            <w:r w:rsidR="00C83E67">
              <w:rPr>
                <w:rFonts w:ascii="Calibri" w:eastAsia="Calibri" w:hAnsi="Calibri" w:cs="Calibri"/>
                <w:sz w:val="20"/>
                <w:szCs w:val="16"/>
              </w:rPr>
              <w:t xml:space="preserve"> y de contacto.</w:t>
            </w:r>
          </w:p>
          <w:p w14:paraId="4A2BA8CD" w14:textId="12BB6A8C" w:rsidR="0073002D" w:rsidRPr="00F124EC" w:rsidRDefault="0073002D" w:rsidP="00C83E67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Datos de formación.</w:t>
            </w:r>
          </w:p>
        </w:tc>
      </w:tr>
      <w:tr w:rsidR="00A5146B" w:rsidRPr="00D574E2" w14:paraId="09D83FFF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E78D51A" w14:textId="35325A3F" w:rsidR="00A5146B" w:rsidRPr="00D574E2" w:rsidRDefault="00A5146B" w:rsidP="00A5146B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Fuente de la que proceden los datos</w:t>
            </w:r>
          </w:p>
        </w:tc>
        <w:tc>
          <w:tcPr>
            <w:tcW w:w="6759" w:type="dxa"/>
          </w:tcPr>
          <w:p w14:paraId="6C94218E" w14:textId="5787FA2C" w:rsidR="00A5146B" w:rsidRPr="00F44485" w:rsidRDefault="00307B5D" w:rsidP="00A5146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E</w:t>
            </w:r>
            <w:r w:rsidR="00F44485" w:rsidRPr="00F44485">
              <w:rPr>
                <w:rFonts w:ascii="Calibri" w:eastAsia="Calibri" w:hAnsi="Calibri" w:cs="Calibri"/>
                <w:sz w:val="20"/>
                <w:szCs w:val="16"/>
              </w:rPr>
              <w:t>l propio interesado.</w:t>
            </w:r>
          </w:p>
        </w:tc>
      </w:tr>
      <w:tr w:rsidR="00825DD1" w:rsidRPr="00D574E2" w14:paraId="43C28F5D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0097F83" w14:textId="41B75D53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Consecuencias de no facilitar los datos</w:t>
            </w:r>
          </w:p>
        </w:tc>
        <w:tc>
          <w:tcPr>
            <w:tcW w:w="6759" w:type="dxa"/>
          </w:tcPr>
          <w:p w14:paraId="776DA0E6" w14:textId="09E8A8AD" w:rsidR="00825DD1" w:rsidRPr="004D77B3" w:rsidRDefault="0073002D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Se podrá requerir al solicitante para que subsane la falta, apercibiéndole que, de no hacerlo, se entenderá que desiste de su solicitud, previa resolución.</w:t>
            </w:r>
          </w:p>
        </w:tc>
      </w:tr>
      <w:tr w:rsidR="00825DD1" w:rsidRPr="00D574E2" w14:paraId="7F5D263B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40FD0DB" w14:textId="19AB7BD9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5B213E">
              <w:rPr>
                <w:rFonts w:ascii="Calibri" w:eastAsia="Calibri" w:hAnsi="Calibri" w:cs="Calibri"/>
                <w:b/>
                <w:sz w:val="20"/>
                <w:szCs w:val="16"/>
              </w:rPr>
              <w:t>Destinatarios</w:t>
            </w:r>
            <w:r w:rsidR="003A324C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de cesiones de datos</w:t>
            </w:r>
          </w:p>
        </w:tc>
        <w:tc>
          <w:tcPr>
            <w:tcW w:w="6759" w:type="dxa"/>
          </w:tcPr>
          <w:p w14:paraId="5DCC3D6B" w14:textId="4EE56C72" w:rsidR="00F0674F" w:rsidRPr="004D77B3" w:rsidRDefault="0073002D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No están previstos.</w:t>
            </w:r>
            <w:bookmarkStart w:id="0" w:name="_GoBack"/>
            <w:bookmarkEnd w:id="0"/>
          </w:p>
        </w:tc>
      </w:tr>
      <w:tr w:rsidR="00825DD1" w:rsidRPr="00D574E2" w14:paraId="3120CCE5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F01F697" w14:textId="77777777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Transferencias internacionales</w:t>
            </w:r>
          </w:p>
        </w:tc>
        <w:tc>
          <w:tcPr>
            <w:tcW w:w="6759" w:type="dxa"/>
          </w:tcPr>
          <w:p w14:paraId="495DDE2A" w14:textId="4BDC9C4C" w:rsidR="00825DD1" w:rsidRPr="00C83E67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color w:val="FF0000"/>
                <w:sz w:val="20"/>
                <w:szCs w:val="16"/>
              </w:rPr>
            </w:pPr>
            <w:r w:rsidRPr="00393F9F">
              <w:rPr>
                <w:rFonts w:ascii="Calibri" w:eastAsia="Calibri" w:hAnsi="Calibri" w:cs="Calibri"/>
                <w:sz w:val="20"/>
                <w:szCs w:val="16"/>
              </w:rPr>
              <w:t>No están previstas.</w:t>
            </w:r>
          </w:p>
        </w:tc>
      </w:tr>
      <w:tr w:rsidR="00825DD1" w:rsidRPr="00D574E2" w14:paraId="7449F119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05F0A8DD" w14:textId="5F06FF02" w:rsidR="00825DD1" w:rsidRPr="00C83E67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C83E67">
              <w:rPr>
                <w:rFonts w:ascii="Calibri" w:eastAsia="Calibri" w:hAnsi="Calibri" w:cs="Calibri"/>
                <w:b/>
                <w:sz w:val="20"/>
                <w:szCs w:val="16"/>
              </w:rPr>
              <w:t>Plazos previstos de conservación</w:t>
            </w:r>
          </w:p>
        </w:tc>
        <w:tc>
          <w:tcPr>
            <w:tcW w:w="6759" w:type="dxa"/>
          </w:tcPr>
          <w:p w14:paraId="7C8ACF91" w14:textId="3E321E93" w:rsidR="00C83E67" w:rsidRPr="00C83E67" w:rsidRDefault="00307B5D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307B5D">
              <w:rPr>
                <w:rFonts w:ascii="Calibri" w:eastAsia="Calibri" w:hAnsi="Calibri" w:cs="Calibri"/>
                <w:sz w:val="20"/>
                <w:szCs w:val="16"/>
              </w:rPr>
              <w:t>Los datos se conservarán durante el plazo necesario para el cumplimiento de las obligaciones legales que afectan al responsable del tratamiento</w:t>
            </w:r>
            <w:r w:rsidR="00C83E67" w:rsidRPr="00C83E67">
              <w:rPr>
                <w:rFonts w:ascii="Calibri" w:eastAsia="Calibri" w:hAnsi="Calibri" w:cs="Calibri"/>
                <w:sz w:val="20"/>
                <w:szCs w:val="16"/>
              </w:rPr>
              <w:t>.</w:t>
            </w:r>
          </w:p>
        </w:tc>
      </w:tr>
      <w:tr w:rsidR="00825DD1" w:rsidRPr="00D574E2" w14:paraId="62828B83" w14:textId="77777777" w:rsidTr="00826960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E89318D" w14:textId="58F8869E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5B213E">
              <w:rPr>
                <w:rFonts w:ascii="Calibri" w:eastAsia="Calibri" w:hAnsi="Calibri" w:cs="Calibri"/>
                <w:b/>
                <w:sz w:val="20"/>
                <w:szCs w:val="16"/>
              </w:rPr>
              <w:t>Medidas de seguridad</w:t>
            </w:r>
          </w:p>
        </w:tc>
        <w:tc>
          <w:tcPr>
            <w:tcW w:w="6759" w:type="dxa"/>
          </w:tcPr>
          <w:p w14:paraId="603EC117" w14:textId="515153A8" w:rsidR="00825DD1" w:rsidRPr="00C83E67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color w:val="FF0000"/>
                <w:sz w:val="20"/>
                <w:szCs w:val="16"/>
              </w:rPr>
            </w:pPr>
            <w:r w:rsidRPr="00393F9F">
              <w:rPr>
                <w:rFonts w:ascii="Calibri" w:eastAsia="Calibri" w:hAnsi="Calibri" w:cs="Calibri"/>
                <w:sz w:val="20"/>
                <w:szCs w:val="16"/>
              </w:rPr>
              <w:t>Las medidas de seguridad implantadas corresponden a las contempladas en el Esquema Nacional de Seguridad y en la Orden PRE/48/2016, de 22 de julio, por la que se regulan las normas de seguridad sobre utilización de los recursos y sistemas tecnológicos y de información en la Administración de la Comunidad Autónoma de Cantabria.</w:t>
            </w:r>
          </w:p>
        </w:tc>
      </w:tr>
      <w:tr w:rsidR="00825DD1" w:rsidRPr="00D574E2" w14:paraId="1E26834C" w14:textId="77777777" w:rsidTr="00826960">
        <w:tc>
          <w:tcPr>
            <w:tcW w:w="1696" w:type="dxa"/>
            <w:shd w:val="clear" w:color="auto" w:fill="DEEAF6" w:themeFill="accent1" w:themeFillTint="33"/>
            <w:hideMark/>
          </w:tcPr>
          <w:p w14:paraId="1745C39D" w14:textId="77777777" w:rsidR="00825DD1" w:rsidRPr="00F44485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F44485">
              <w:rPr>
                <w:rFonts w:ascii="Calibri" w:eastAsia="Calibri" w:hAnsi="Calibri" w:cs="Calibri"/>
                <w:b/>
                <w:sz w:val="20"/>
                <w:szCs w:val="16"/>
              </w:rPr>
              <w:t>Elaboración de perfiles y decisiones automatizadas</w:t>
            </w:r>
          </w:p>
        </w:tc>
        <w:tc>
          <w:tcPr>
            <w:tcW w:w="6759" w:type="dxa"/>
            <w:hideMark/>
          </w:tcPr>
          <w:p w14:paraId="6A6E224B" w14:textId="77777777" w:rsidR="00825DD1" w:rsidRPr="00F44485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F44485">
              <w:rPr>
                <w:rFonts w:ascii="Calibri" w:eastAsia="Calibri" w:hAnsi="Calibri" w:cs="Calibri"/>
                <w:sz w:val="20"/>
                <w:szCs w:val="16"/>
              </w:rPr>
              <w:t>No se elaboran perfiles ni se toman decisiones automatizadas.</w:t>
            </w:r>
          </w:p>
        </w:tc>
      </w:tr>
      <w:tr w:rsidR="00825DD1" w:rsidRPr="00D574E2" w14:paraId="585C0AE9" w14:textId="77777777" w:rsidTr="00826960">
        <w:tc>
          <w:tcPr>
            <w:tcW w:w="1696" w:type="dxa"/>
            <w:shd w:val="clear" w:color="auto" w:fill="DEEAF6" w:themeFill="accent1" w:themeFillTint="33"/>
            <w:hideMark/>
          </w:tcPr>
          <w:p w14:paraId="2B863702" w14:textId="77777777" w:rsidR="00825DD1" w:rsidRPr="00A737EC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A737EC">
              <w:rPr>
                <w:rFonts w:ascii="Calibri" w:eastAsia="Calibri" w:hAnsi="Calibri" w:cs="Calibri"/>
                <w:b/>
                <w:sz w:val="20"/>
                <w:szCs w:val="16"/>
              </w:rPr>
              <w:t>Derechos</w:t>
            </w:r>
          </w:p>
        </w:tc>
        <w:tc>
          <w:tcPr>
            <w:tcW w:w="6759" w:type="dxa"/>
            <w:hideMark/>
          </w:tcPr>
          <w:p w14:paraId="17C71F2E" w14:textId="77777777" w:rsidR="00307B5D" w:rsidRPr="00307B5D" w:rsidRDefault="00307B5D" w:rsidP="00307B5D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307B5D">
              <w:rPr>
                <w:rFonts w:ascii="Calibri" w:eastAsia="Calibri" w:hAnsi="Calibri" w:cs="Calibri"/>
                <w:sz w:val="20"/>
                <w:szCs w:val="16"/>
              </w:rPr>
              <w:t>El interesado tiene derecho de acceso, rectificación, supresión o limitación del tratamiento. Estos derechos los puede ejercitar poniéndose en contacto con el responsable o con el Delegado de Protección de Datos.</w:t>
            </w:r>
          </w:p>
          <w:p w14:paraId="2AD21428" w14:textId="4D03EE25" w:rsidR="00825DD1" w:rsidRPr="00A737EC" w:rsidRDefault="00307B5D" w:rsidP="00307B5D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307B5D">
              <w:rPr>
                <w:rFonts w:ascii="Calibri" w:eastAsia="Calibri" w:hAnsi="Calibri" w:cs="Calibri"/>
                <w:sz w:val="20"/>
                <w:szCs w:val="16"/>
              </w:rPr>
              <w:t>Si considera que sus derechos no han sido atendidos, puede reclamar ante la Agencia Española de Protección de Datos (www.aepd.es)</w:t>
            </w:r>
            <w:r w:rsidR="00825DD1" w:rsidRPr="00A737EC">
              <w:rPr>
                <w:rFonts w:ascii="Calibri" w:eastAsia="Calibri" w:hAnsi="Calibri" w:cs="Calibri"/>
                <w:sz w:val="20"/>
                <w:szCs w:val="16"/>
              </w:rPr>
              <w:t xml:space="preserve">. </w:t>
            </w:r>
          </w:p>
        </w:tc>
      </w:tr>
    </w:tbl>
    <w:p w14:paraId="6DEDAC47" w14:textId="506F8887" w:rsidR="00826960" w:rsidRDefault="00826960" w:rsidP="00826960">
      <w:pPr>
        <w:contextualSpacing/>
        <w:rPr>
          <w:rFonts w:ascii="Calibri" w:eastAsia="Calibri" w:hAnsi="Calibri" w:cs="Calibri"/>
          <w:b/>
          <w:color w:val="FFFFFF" w:themeColor="background1"/>
          <w:sz w:val="20"/>
          <w:szCs w:val="16"/>
        </w:rPr>
      </w:pPr>
    </w:p>
    <w:sectPr w:rsidR="00826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355"/>
    <w:multiLevelType w:val="hybridMultilevel"/>
    <w:tmpl w:val="5C162E26"/>
    <w:lvl w:ilvl="0" w:tplc="F3FEF83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A2AA7"/>
    <w:multiLevelType w:val="hybridMultilevel"/>
    <w:tmpl w:val="CDDCFCC4"/>
    <w:lvl w:ilvl="0" w:tplc="9B70B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E6A"/>
    <w:multiLevelType w:val="hybridMultilevel"/>
    <w:tmpl w:val="DA4635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41A7"/>
    <w:multiLevelType w:val="hybridMultilevel"/>
    <w:tmpl w:val="E974CEB2"/>
    <w:lvl w:ilvl="0" w:tplc="9B70B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3599"/>
    <w:multiLevelType w:val="hybridMultilevel"/>
    <w:tmpl w:val="DFE28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8"/>
    <w:rsid w:val="00013A40"/>
    <w:rsid w:val="000143A0"/>
    <w:rsid w:val="00061834"/>
    <w:rsid w:val="00063D94"/>
    <w:rsid w:val="000D544B"/>
    <w:rsid w:val="000F0DF2"/>
    <w:rsid w:val="00173FD4"/>
    <w:rsid w:val="001E73D7"/>
    <w:rsid w:val="001F6942"/>
    <w:rsid w:val="00266DA6"/>
    <w:rsid w:val="002B0EA8"/>
    <w:rsid w:val="00307B5D"/>
    <w:rsid w:val="00322571"/>
    <w:rsid w:val="003911C5"/>
    <w:rsid w:val="00393F9F"/>
    <w:rsid w:val="003A324C"/>
    <w:rsid w:val="003D7670"/>
    <w:rsid w:val="00422D2F"/>
    <w:rsid w:val="00436812"/>
    <w:rsid w:val="0044341C"/>
    <w:rsid w:val="004D77B3"/>
    <w:rsid w:val="0055277C"/>
    <w:rsid w:val="005721E6"/>
    <w:rsid w:val="005A4CCD"/>
    <w:rsid w:val="005B213E"/>
    <w:rsid w:val="005F0BC2"/>
    <w:rsid w:val="00644E6A"/>
    <w:rsid w:val="00674D17"/>
    <w:rsid w:val="006B675B"/>
    <w:rsid w:val="006B6E13"/>
    <w:rsid w:val="006E75EF"/>
    <w:rsid w:val="0073002D"/>
    <w:rsid w:val="00771BF9"/>
    <w:rsid w:val="007815E3"/>
    <w:rsid w:val="0079438D"/>
    <w:rsid w:val="007E797C"/>
    <w:rsid w:val="00815B01"/>
    <w:rsid w:val="00825DD1"/>
    <w:rsid w:val="00826960"/>
    <w:rsid w:val="008413CA"/>
    <w:rsid w:val="008A0C08"/>
    <w:rsid w:val="009264F1"/>
    <w:rsid w:val="00934B7D"/>
    <w:rsid w:val="009541A5"/>
    <w:rsid w:val="00961513"/>
    <w:rsid w:val="009823C1"/>
    <w:rsid w:val="00994478"/>
    <w:rsid w:val="009A4B5A"/>
    <w:rsid w:val="009C2896"/>
    <w:rsid w:val="00A16809"/>
    <w:rsid w:val="00A5146B"/>
    <w:rsid w:val="00A52FEA"/>
    <w:rsid w:val="00A737EC"/>
    <w:rsid w:val="00B06CEF"/>
    <w:rsid w:val="00B50E3A"/>
    <w:rsid w:val="00BD6026"/>
    <w:rsid w:val="00C26D47"/>
    <w:rsid w:val="00C27A2A"/>
    <w:rsid w:val="00C83E67"/>
    <w:rsid w:val="00D574E2"/>
    <w:rsid w:val="00E87917"/>
    <w:rsid w:val="00EA5A00"/>
    <w:rsid w:val="00EE2BC7"/>
    <w:rsid w:val="00F0674F"/>
    <w:rsid w:val="00F124EC"/>
    <w:rsid w:val="00F139FA"/>
    <w:rsid w:val="00F44485"/>
    <w:rsid w:val="00F83955"/>
    <w:rsid w:val="00FE1D92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EFD"/>
  <w15:chartTrackingRefBased/>
  <w15:docId w15:val="{F543781F-805A-4605-A99D-5E084BE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8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11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 Maza Inés</dc:creator>
  <cp:keywords/>
  <dc:description/>
  <cp:lastModifiedBy>Mier Maza Inés</cp:lastModifiedBy>
  <cp:revision>2</cp:revision>
  <dcterms:created xsi:type="dcterms:W3CDTF">2022-11-23T09:17:00Z</dcterms:created>
  <dcterms:modified xsi:type="dcterms:W3CDTF">2022-11-23T09:17:00Z</dcterms:modified>
</cp:coreProperties>
</file>