
<file path=[Content_Types].xml><?xml version="1.0" encoding="utf-8"?>
<Types xmlns="http://schemas.openxmlformats.org/package/2006/content-types">
  <Default Extension="jfif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FC" w:rsidRPr="00FF1FD2" w:rsidRDefault="00D45BFC" w:rsidP="00D45BFC">
      <w:pPr>
        <w:spacing w:before="240"/>
        <w:jc w:val="center"/>
        <w:rPr>
          <w:rFonts w:ascii="Arial" w:hAnsi="Arial" w:cs="Arial"/>
          <w:b/>
          <w:sz w:val="28"/>
        </w:rPr>
      </w:pPr>
      <w:r w:rsidRPr="00FF1FD2">
        <w:rPr>
          <w:rFonts w:ascii="Arial" w:hAnsi="Arial" w:cs="Arial"/>
          <w:b/>
          <w:sz w:val="28"/>
        </w:rPr>
        <w:t>ANEXO IV</w:t>
      </w:r>
    </w:p>
    <w:p w:rsidR="00D45BFC" w:rsidRPr="00DB6390" w:rsidRDefault="00D45BFC" w:rsidP="00D45BFC">
      <w:pPr>
        <w:spacing w:before="120"/>
        <w:rPr>
          <w:rFonts w:ascii="Arial" w:hAnsi="Arial" w:cs="Arial"/>
          <w:b/>
          <w:lang w:val="es-ES_tradnl"/>
        </w:rPr>
      </w:pPr>
      <w:r w:rsidRPr="00DB6390">
        <w:rPr>
          <w:rFonts w:ascii="Arial" w:hAnsi="Arial" w:cs="Arial"/>
          <w:b/>
          <w:lang w:val="es-ES_tradnl"/>
        </w:rPr>
        <w:t>Centro</w:t>
      </w:r>
      <w:r>
        <w:rPr>
          <w:rFonts w:ascii="Arial" w:hAnsi="Arial" w:cs="Arial"/>
          <w:b/>
          <w:lang w:val="es-ES_tradnl"/>
        </w:rPr>
        <w:t xml:space="preserve">                                                                                                                  </w:t>
      </w:r>
      <w:r w:rsidRPr="00DB6390">
        <w:rPr>
          <w:rFonts w:ascii="Arial" w:hAnsi="Arial" w:cs="Arial"/>
          <w:b/>
          <w:lang w:val="es-ES_tradnl"/>
        </w:rPr>
        <w:t>Expediente nº</w:t>
      </w:r>
      <w:r>
        <w:rPr>
          <w:rFonts w:ascii="Arial" w:hAnsi="Arial" w:cs="Arial"/>
          <w:b/>
          <w:lang w:val="es-ES_tradnl"/>
        </w:rPr>
        <w:t xml:space="preserve">           </w:t>
      </w:r>
    </w:p>
    <w:p w:rsidR="00D45BFC" w:rsidRPr="00DB6390" w:rsidRDefault="00D45BFC" w:rsidP="00D45BFC">
      <w:pPr>
        <w:rPr>
          <w:rFonts w:ascii="Arial" w:hAnsi="Arial" w:cs="Arial"/>
          <w:lang w:val="es-ES_tradnl"/>
        </w:rPr>
      </w:pPr>
      <w:r w:rsidRPr="00DB6390">
        <w:rPr>
          <w:rFonts w:ascii="Arial" w:hAnsi="Arial" w:cs="Arial"/>
          <w:b/>
          <w:lang w:val="es-ES_tradnl"/>
        </w:rPr>
        <w:t>Código del centro</w:t>
      </w:r>
      <w:r w:rsidRPr="00DB6390">
        <w:rPr>
          <w:rFonts w:ascii="Arial" w:hAnsi="Arial" w:cs="Arial"/>
          <w:lang w:val="es-ES_tradnl"/>
        </w:rPr>
        <w:t xml:space="preserve">:    </w:t>
      </w:r>
    </w:p>
    <w:p w:rsidR="00D45BFC" w:rsidRPr="00932234" w:rsidRDefault="00D45BFC" w:rsidP="00D45BFC">
      <w:pPr>
        <w:spacing w:before="120" w:after="12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932234">
        <w:rPr>
          <w:rFonts w:ascii="Arial" w:hAnsi="Arial" w:cs="Arial"/>
          <w:b/>
          <w:sz w:val="28"/>
          <w:szCs w:val="28"/>
        </w:rPr>
        <w:t xml:space="preserve">RESOLUCIÓN </w:t>
      </w:r>
      <w:r>
        <w:rPr>
          <w:rFonts w:ascii="Arial" w:hAnsi="Arial" w:cs="Arial"/>
          <w:b/>
          <w:sz w:val="28"/>
          <w:szCs w:val="28"/>
        </w:rPr>
        <w:t>DE ADJUDICACIÓN</w:t>
      </w:r>
    </w:p>
    <w:p w:rsidR="00D45BFC" w:rsidRPr="009577F0" w:rsidRDefault="00D45BFC" w:rsidP="00D45BFC">
      <w:pPr>
        <w:spacing w:before="120" w:after="120" w:line="36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9577F0">
        <w:rPr>
          <w:rFonts w:ascii="Arial" w:hAnsi="Arial" w:cs="Arial"/>
          <w:sz w:val="18"/>
          <w:szCs w:val="18"/>
        </w:rPr>
        <w:t xml:space="preserve">Visto el expediente tramitado, considerando la existencia de motivos que hacen necesaria la contratación propuesta para dar cumplimiento al proyecto del Centro público </w:t>
      </w:r>
      <w:r w:rsidRPr="009577F0">
        <w:rPr>
          <w:rFonts w:ascii="Arial" w:hAnsi="Arial" w:cs="Arial"/>
          <w:b/>
          <w:color w:val="002060"/>
          <w:sz w:val="18"/>
          <w:szCs w:val="18"/>
        </w:rPr>
        <w:t xml:space="preserve">                      </w:t>
      </w:r>
      <w:r w:rsidRPr="009577F0">
        <w:rPr>
          <w:rFonts w:ascii="Arial" w:hAnsi="Arial" w:cs="Arial"/>
          <w:b/>
          <w:sz w:val="18"/>
          <w:szCs w:val="18"/>
        </w:rPr>
        <w:t xml:space="preserve"> </w:t>
      </w:r>
      <w:r w:rsidRPr="009577F0">
        <w:rPr>
          <w:rFonts w:ascii="Arial" w:hAnsi="Arial" w:cs="Arial"/>
          <w:sz w:val="18"/>
          <w:szCs w:val="18"/>
        </w:rPr>
        <w:t xml:space="preserve"> de              </w:t>
      </w:r>
      <w:r w:rsidRPr="009577F0">
        <w:rPr>
          <w:rFonts w:ascii="Arial" w:hAnsi="Arial" w:cs="Arial"/>
          <w:b/>
          <w:color w:val="002060"/>
          <w:sz w:val="18"/>
          <w:szCs w:val="18"/>
        </w:rPr>
        <w:t xml:space="preserve"> </w:t>
      </w:r>
      <w:r w:rsidRPr="009577F0">
        <w:rPr>
          <w:rFonts w:ascii="Arial" w:hAnsi="Arial" w:cs="Arial"/>
          <w:sz w:val="18"/>
          <w:szCs w:val="18"/>
        </w:rPr>
        <w:t xml:space="preserve">, con NIF             </w:t>
      </w:r>
      <w:r w:rsidRPr="009577F0">
        <w:rPr>
          <w:rFonts w:ascii="Arial" w:hAnsi="Arial" w:cs="Arial"/>
          <w:b/>
          <w:color w:val="002060"/>
          <w:sz w:val="18"/>
          <w:szCs w:val="18"/>
        </w:rPr>
        <w:t xml:space="preserve"> </w:t>
      </w:r>
      <w:r w:rsidRPr="009577F0">
        <w:rPr>
          <w:rFonts w:ascii="Arial" w:hAnsi="Arial" w:cs="Arial"/>
          <w:sz w:val="18"/>
          <w:szCs w:val="18"/>
        </w:rPr>
        <w:t xml:space="preserve">, careciendo de medios propios para dar satisfacción a la misma, y conforme a lo dispuesto en el artículo 35 de la Ley 5/2018 de 22 de noviembre, de Régimen Jurídico del Gobierno, de la Administración  y del Sector Público Institucional de la Comunidad Autónoma de Cantabria, en los artículos 118 y 131.3 de la Ley 9/2017, de 8 de noviembre, de Contratos del Sector Público y según lo dispuesto en la Ley 14/2006, de 24 de octubre, de Finanzas de Cantabria y en la Ley de Presupuestos Generales de la Comunidad Autónoma de Cantabria para 2021 , </w:t>
      </w:r>
    </w:p>
    <w:p w:rsidR="00D45BFC" w:rsidRPr="002A76CF" w:rsidRDefault="00D45BFC" w:rsidP="00D45BFC">
      <w:pPr>
        <w:spacing w:before="120" w:after="120" w:line="360" w:lineRule="auto"/>
        <w:jc w:val="center"/>
        <w:rPr>
          <w:rFonts w:ascii="Arial" w:hAnsi="Arial" w:cs="Arial"/>
          <w:b/>
          <w:sz w:val="19"/>
          <w:szCs w:val="19"/>
        </w:rPr>
      </w:pPr>
      <w:r w:rsidRPr="002A76CF">
        <w:rPr>
          <w:rFonts w:ascii="Arial" w:hAnsi="Arial" w:cs="Arial"/>
          <w:b/>
          <w:sz w:val="19"/>
          <w:szCs w:val="19"/>
        </w:rPr>
        <w:t>RESUELVO</w:t>
      </w:r>
    </w:p>
    <w:p w:rsidR="00D45BFC" w:rsidRPr="002A76CF" w:rsidRDefault="00D45BFC" w:rsidP="00D45BFC">
      <w:pPr>
        <w:tabs>
          <w:tab w:val="left" w:pos="708"/>
          <w:tab w:val="center" w:pos="4252"/>
          <w:tab w:val="right" w:pos="8504"/>
        </w:tabs>
        <w:spacing w:before="120" w:after="120" w:line="360" w:lineRule="auto"/>
        <w:jc w:val="both"/>
        <w:rPr>
          <w:rFonts w:ascii="Arial" w:hAnsi="Arial" w:cs="Arial"/>
          <w:sz w:val="19"/>
          <w:szCs w:val="19"/>
        </w:rPr>
      </w:pPr>
      <w:r w:rsidRPr="002A76CF">
        <w:rPr>
          <w:rFonts w:ascii="Arial" w:hAnsi="Arial" w:cs="Arial"/>
          <w:b/>
          <w:sz w:val="19"/>
          <w:szCs w:val="19"/>
        </w:rPr>
        <w:t>1</w:t>
      </w:r>
      <w:r w:rsidRPr="002A76CF">
        <w:rPr>
          <w:rFonts w:ascii="Arial" w:hAnsi="Arial" w:cs="Arial"/>
          <w:sz w:val="19"/>
          <w:szCs w:val="19"/>
        </w:rPr>
        <w:t xml:space="preserve">.- </w:t>
      </w:r>
      <w:r w:rsidRPr="002A76CF">
        <w:rPr>
          <w:rFonts w:ascii="Arial" w:hAnsi="Arial" w:cs="Arial"/>
          <w:b/>
          <w:sz w:val="19"/>
          <w:szCs w:val="19"/>
        </w:rPr>
        <w:t>AUTORIZAR, DISPONER UN GASTO y</w:t>
      </w:r>
      <w:r w:rsidRPr="002A76CF">
        <w:rPr>
          <w:rFonts w:ascii="Arial" w:hAnsi="Arial" w:cs="Arial"/>
          <w:sz w:val="19"/>
          <w:szCs w:val="19"/>
        </w:rPr>
        <w:t xml:space="preserve"> </w:t>
      </w:r>
      <w:r w:rsidRPr="002A76CF">
        <w:rPr>
          <w:rFonts w:ascii="Arial" w:hAnsi="Arial" w:cs="Arial"/>
          <w:b/>
          <w:sz w:val="19"/>
          <w:szCs w:val="19"/>
        </w:rPr>
        <w:t>ADJUDICAR</w:t>
      </w:r>
      <w:r w:rsidRPr="002A76CF">
        <w:rPr>
          <w:rFonts w:ascii="Arial" w:hAnsi="Arial" w:cs="Arial"/>
          <w:sz w:val="19"/>
          <w:szCs w:val="19"/>
        </w:rPr>
        <w:t xml:space="preserve"> el contrato </w:t>
      </w:r>
      <w:proofErr w:type="gramStart"/>
      <w:r w:rsidRPr="002A76CF">
        <w:rPr>
          <w:rFonts w:ascii="Arial" w:hAnsi="Arial" w:cs="Arial"/>
          <w:sz w:val="19"/>
          <w:szCs w:val="19"/>
        </w:rPr>
        <w:t>“</w:t>
      </w:r>
      <w:r>
        <w:rPr>
          <w:rFonts w:ascii="Arial" w:hAnsi="Arial" w:cs="Arial"/>
          <w:b/>
          <w:color w:val="002060"/>
          <w:sz w:val="19"/>
          <w:szCs w:val="19"/>
        </w:rPr>
        <w:t xml:space="preserve">  </w:t>
      </w:r>
      <w:proofErr w:type="gramEnd"/>
      <w:r>
        <w:rPr>
          <w:rFonts w:ascii="Arial" w:hAnsi="Arial" w:cs="Arial"/>
          <w:b/>
          <w:color w:val="002060"/>
          <w:sz w:val="19"/>
          <w:szCs w:val="19"/>
        </w:rPr>
        <w:t xml:space="preserve">                                  </w:t>
      </w:r>
      <w:r w:rsidRPr="002A76CF">
        <w:rPr>
          <w:rFonts w:ascii="Arial" w:hAnsi="Arial" w:cs="Arial"/>
          <w:sz w:val="19"/>
          <w:szCs w:val="19"/>
        </w:rPr>
        <w:t xml:space="preserve">”, a </w:t>
      </w:r>
      <w:r>
        <w:rPr>
          <w:rFonts w:ascii="Arial" w:hAnsi="Arial" w:cs="Arial"/>
          <w:b/>
          <w:color w:val="002060"/>
          <w:sz w:val="19"/>
          <w:szCs w:val="19"/>
        </w:rPr>
        <w:t xml:space="preserve">                      </w:t>
      </w:r>
      <w:r w:rsidRPr="002A76CF">
        <w:rPr>
          <w:rFonts w:ascii="Arial" w:hAnsi="Arial" w:cs="Arial"/>
          <w:sz w:val="19"/>
          <w:szCs w:val="19"/>
        </w:rPr>
        <w:t xml:space="preserve">, con NIF </w:t>
      </w:r>
      <w:r>
        <w:rPr>
          <w:rFonts w:ascii="Arial" w:hAnsi="Arial" w:cs="Arial"/>
          <w:b/>
          <w:color w:val="002060"/>
          <w:sz w:val="19"/>
          <w:szCs w:val="19"/>
        </w:rPr>
        <w:t xml:space="preserve">                        </w:t>
      </w:r>
      <w:r w:rsidRPr="002A76CF">
        <w:rPr>
          <w:rFonts w:ascii="Arial" w:hAnsi="Arial" w:cs="Arial"/>
          <w:sz w:val="19"/>
          <w:szCs w:val="19"/>
        </w:rPr>
        <w:t xml:space="preserve">, por un importe total de </w:t>
      </w:r>
      <w:r>
        <w:rPr>
          <w:rFonts w:ascii="Arial" w:hAnsi="Arial" w:cs="Arial"/>
          <w:b/>
          <w:color w:val="002060"/>
          <w:sz w:val="19"/>
          <w:szCs w:val="19"/>
        </w:rPr>
        <w:t xml:space="preserve">               </w:t>
      </w:r>
      <w:r w:rsidRPr="002A76CF">
        <w:rPr>
          <w:rFonts w:ascii="Arial" w:hAnsi="Arial" w:cs="Arial"/>
          <w:sz w:val="19"/>
          <w:szCs w:val="19"/>
        </w:rPr>
        <w:t>conforme al siguiente detalle:</w:t>
      </w:r>
    </w:p>
    <w:p w:rsidR="00D45BFC" w:rsidRPr="002A76CF" w:rsidRDefault="00D45BFC" w:rsidP="00D45BFC">
      <w:pPr>
        <w:tabs>
          <w:tab w:val="left" w:pos="708"/>
          <w:tab w:val="left" w:pos="1560"/>
          <w:tab w:val="right" w:pos="8504"/>
        </w:tabs>
        <w:spacing w:before="120" w:after="120" w:line="360" w:lineRule="auto"/>
        <w:ind w:firstLine="708"/>
        <w:jc w:val="both"/>
        <w:rPr>
          <w:rFonts w:ascii="Arial" w:hAnsi="Arial" w:cs="Arial"/>
          <w:sz w:val="19"/>
          <w:szCs w:val="19"/>
        </w:rPr>
      </w:pPr>
      <w:r w:rsidRPr="002A76CF">
        <w:rPr>
          <w:rFonts w:ascii="Arial" w:hAnsi="Arial" w:cs="Arial"/>
          <w:sz w:val="19"/>
          <w:szCs w:val="19"/>
        </w:rPr>
        <w:t>Precio:</w:t>
      </w:r>
      <w:r w:rsidRPr="002A76CF">
        <w:rPr>
          <w:rFonts w:ascii="Arial" w:hAnsi="Arial" w:cs="Arial"/>
          <w:sz w:val="19"/>
          <w:szCs w:val="19"/>
        </w:rPr>
        <w:tab/>
      </w:r>
      <w:r>
        <w:rPr>
          <w:rFonts w:ascii="Arial" w:hAnsi="Arial" w:cs="Arial"/>
          <w:b/>
          <w:color w:val="002060"/>
          <w:sz w:val="19"/>
          <w:szCs w:val="19"/>
        </w:rPr>
        <w:t xml:space="preserve"> </w:t>
      </w:r>
      <w:r w:rsidRPr="006379AB">
        <w:rPr>
          <w:rFonts w:ascii="Arial" w:hAnsi="Arial" w:cs="Arial"/>
          <w:color w:val="002060"/>
          <w:sz w:val="19"/>
          <w:szCs w:val="19"/>
        </w:rPr>
        <w:t xml:space="preserve"> </w:t>
      </w:r>
    </w:p>
    <w:p w:rsidR="00D45BFC" w:rsidRPr="002A76CF" w:rsidRDefault="00D45BFC" w:rsidP="00D45BFC">
      <w:pPr>
        <w:tabs>
          <w:tab w:val="left" w:pos="708"/>
          <w:tab w:val="left" w:pos="1560"/>
          <w:tab w:val="right" w:pos="8504"/>
        </w:tabs>
        <w:spacing w:before="120" w:after="120" w:line="360" w:lineRule="auto"/>
        <w:ind w:firstLine="708"/>
        <w:jc w:val="both"/>
        <w:rPr>
          <w:rFonts w:ascii="Arial" w:hAnsi="Arial" w:cs="Arial"/>
          <w:sz w:val="19"/>
          <w:szCs w:val="19"/>
        </w:rPr>
      </w:pPr>
      <w:r w:rsidRPr="002A76CF">
        <w:rPr>
          <w:rFonts w:ascii="Arial" w:hAnsi="Arial" w:cs="Arial"/>
          <w:sz w:val="19"/>
          <w:szCs w:val="19"/>
        </w:rPr>
        <w:t>IVA:</w:t>
      </w:r>
      <w:r w:rsidRPr="002A76CF">
        <w:rPr>
          <w:rFonts w:ascii="Arial" w:hAnsi="Arial" w:cs="Arial"/>
          <w:sz w:val="19"/>
          <w:szCs w:val="19"/>
        </w:rPr>
        <w:tab/>
      </w:r>
      <w:r>
        <w:rPr>
          <w:rFonts w:ascii="Arial" w:hAnsi="Arial" w:cs="Arial"/>
          <w:b/>
          <w:color w:val="002060"/>
          <w:sz w:val="19"/>
          <w:szCs w:val="19"/>
        </w:rPr>
        <w:t xml:space="preserve"> </w:t>
      </w:r>
    </w:p>
    <w:p w:rsidR="00D45BFC" w:rsidRPr="002A76CF" w:rsidRDefault="00D45BFC" w:rsidP="00D45BFC">
      <w:pPr>
        <w:tabs>
          <w:tab w:val="left" w:pos="708"/>
          <w:tab w:val="center" w:pos="4252"/>
          <w:tab w:val="right" w:pos="8504"/>
        </w:tabs>
        <w:spacing w:before="120" w:after="120" w:line="360" w:lineRule="auto"/>
        <w:jc w:val="both"/>
        <w:rPr>
          <w:rFonts w:ascii="Arial" w:hAnsi="Arial" w:cs="Arial"/>
          <w:sz w:val="19"/>
          <w:szCs w:val="19"/>
        </w:rPr>
      </w:pPr>
      <w:r w:rsidRPr="002A76CF">
        <w:rPr>
          <w:rFonts w:ascii="Arial" w:hAnsi="Arial" w:cs="Arial"/>
          <w:b/>
          <w:sz w:val="19"/>
          <w:szCs w:val="19"/>
        </w:rPr>
        <w:t>2.-</w:t>
      </w:r>
      <w:r w:rsidRPr="002A76CF">
        <w:rPr>
          <w:rFonts w:ascii="Arial" w:hAnsi="Arial" w:cs="Arial"/>
          <w:sz w:val="19"/>
          <w:szCs w:val="19"/>
        </w:rPr>
        <w:t xml:space="preserve"> EL PLAZO DE EJECUCIÓN del contrato será de                                              </w:t>
      </w:r>
      <w:proofErr w:type="gramStart"/>
      <w:r w:rsidRPr="002A76CF">
        <w:rPr>
          <w:rFonts w:ascii="Arial" w:hAnsi="Arial" w:cs="Arial"/>
          <w:sz w:val="19"/>
          <w:szCs w:val="19"/>
        </w:rPr>
        <w:t xml:space="preserve">  ,</w:t>
      </w:r>
      <w:proofErr w:type="gramEnd"/>
      <w:r w:rsidRPr="002A76CF">
        <w:rPr>
          <w:rFonts w:ascii="Arial" w:hAnsi="Arial" w:cs="Arial"/>
          <w:sz w:val="19"/>
          <w:szCs w:val="19"/>
        </w:rPr>
        <w:t xml:space="preserve"> a partir de          </w:t>
      </w:r>
    </w:p>
    <w:p w:rsidR="00D45BFC" w:rsidRPr="009577F0" w:rsidRDefault="00D45BFC" w:rsidP="00D45BFC">
      <w:pPr>
        <w:spacing w:before="120" w:after="120" w:line="360" w:lineRule="auto"/>
        <w:ind w:right="-29"/>
        <w:jc w:val="both"/>
        <w:rPr>
          <w:rFonts w:ascii="Arial" w:hAnsi="Arial" w:cs="Arial"/>
          <w:sz w:val="18"/>
          <w:szCs w:val="18"/>
        </w:rPr>
      </w:pPr>
      <w:r w:rsidRPr="009577F0">
        <w:rPr>
          <w:rFonts w:ascii="Arial" w:hAnsi="Arial" w:cs="Arial"/>
          <w:b/>
          <w:sz w:val="18"/>
          <w:szCs w:val="18"/>
        </w:rPr>
        <w:t>3.-</w:t>
      </w:r>
      <w:r w:rsidRPr="009577F0">
        <w:rPr>
          <w:rFonts w:ascii="Arial" w:hAnsi="Arial" w:cs="Arial"/>
          <w:sz w:val="18"/>
          <w:szCs w:val="18"/>
        </w:rPr>
        <w:t xml:space="preserve"> RÉGIMEN DE PAGOS: El pago se realizará una vez realizada de conformidad la prestación, previa presentación de la factura, y conformidad con la misma, que deberá reunir los requisitos establecidos en el Real Decreto 1619/2012, de 30 de noviembre, por el que se aprueba el Reglamento por el que se regulan las obligaciones de facturación, pudiendo realizarse pagos parciales con los mismos requisitos.</w:t>
      </w:r>
    </w:p>
    <w:p w:rsidR="00D45BFC" w:rsidRPr="009577F0" w:rsidRDefault="00D45BFC" w:rsidP="00D45BFC">
      <w:pPr>
        <w:spacing w:before="120" w:after="120" w:line="360" w:lineRule="auto"/>
        <w:ind w:right="-29" w:firstLine="708"/>
        <w:jc w:val="both"/>
        <w:rPr>
          <w:rFonts w:ascii="Arial" w:hAnsi="Arial" w:cs="Arial"/>
          <w:sz w:val="18"/>
          <w:szCs w:val="18"/>
        </w:rPr>
      </w:pPr>
      <w:r w:rsidRPr="009577F0">
        <w:rPr>
          <w:rFonts w:ascii="Arial" w:hAnsi="Arial" w:cs="Arial"/>
          <w:sz w:val="18"/>
          <w:szCs w:val="18"/>
        </w:rPr>
        <w:t>En las facturas, que deberán presentarse a través del Punto General de Entrada de Facturas Electrónicas (FACe) o en el correspondiente registro administrativo, según exista obligación o no de presentar factura electrónica, deben constar los siguientes códigos:</w:t>
      </w:r>
    </w:p>
    <w:p w:rsidR="00D45BFC" w:rsidRPr="009577F0" w:rsidRDefault="00D45BFC" w:rsidP="00D45BFC">
      <w:pPr>
        <w:spacing w:before="120" w:after="120" w:line="360" w:lineRule="auto"/>
        <w:ind w:right="-29" w:firstLine="708"/>
        <w:jc w:val="both"/>
        <w:rPr>
          <w:rFonts w:ascii="Arial" w:hAnsi="Arial" w:cs="Arial"/>
          <w:sz w:val="18"/>
          <w:szCs w:val="18"/>
        </w:rPr>
      </w:pPr>
      <w:r w:rsidRPr="009577F0">
        <w:rPr>
          <w:rFonts w:ascii="Arial" w:hAnsi="Arial" w:cs="Arial"/>
          <w:sz w:val="18"/>
          <w:szCs w:val="18"/>
        </w:rPr>
        <w:t>Oficina Contable:</w:t>
      </w:r>
      <w:r w:rsidRPr="009577F0">
        <w:rPr>
          <w:rFonts w:ascii="Arial" w:hAnsi="Arial" w:cs="Arial"/>
          <w:sz w:val="18"/>
          <w:szCs w:val="18"/>
        </w:rPr>
        <w:tab/>
        <w:t xml:space="preserve">A06004135 </w:t>
      </w:r>
      <w:r w:rsidRPr="009577F0">
        <w:rPr>
          <w:rFonts w:ascii="Arial" w:hAnsi="Arial" w:cs="Arial"/>
          <w:sz w:val="18"/>
          <w:szCs w:val="18"/>
        </w:rPr>
        <w:tab/>
      </w:r>
    </w:p>
    <w:p w:rsidR="00D45BFC" w:rsidRPr="009577F0" w:rsidRDefault="00D45BFC" w:rsidP="00D45BFC">
      <w:pPr>
        <w:spacing w:before="120" w:after="120" w:line="360" w:lineRule="auto"/>
        <w:ind w:right="-29" w:firstLine="708"/>
        <w:jc w:val="both"/>
        <w:rPr>
          <w:rFonts w:ascii="Arial" w:hAnsi="Arial" w:cs="Arial"/>
          <w:sz w:val="18"/>
          <w:szCs w:val="18"/>
        </w:rPr>
      </w:pPr>
      <w:r w:rsidRPr="009577F0">
        <w:rPr>
          <w:rFonts w:ascii="Arial" w:hAnsi="Arial" w:cs="Arial"/>
          <w:sz w:val="18"/>
          <w:szCs w:val="18"/>
        </w:rPr>
        <w:t>Órgano Gestor:</w:t>
      </w:r>
      <w:r w:rsidRPr="009577F0">
        <w:rPr>
          <w:rFonts w:ascii="Arial" w:hAnsi="Arial" w:cs="Arial"/>
          <w:sz w:val="18"/>
          <w:szCs w:val="18"/>
        </w:rPr>
        <w:tab/>
      </w:r>
      <w:r w:rsidRPr="009577F0">
        <w:rPr>
          <w:rFonts w:ascii="Arial" w:hAnsi="Arial" w:cs="Arial"/>
          <w:sz w:val="18"/>
          <w:szCs w:val="18"/>
        </w:rPr>
        <w:tab/>
      </w:r>
      <w:r w:rsidRPr="009577F0">
        <w:rPr>
          <w:rFonts w:ascii="Arial" w:hAnsi="Arial" w:cs="Arial"/>
          <w:color w:val="002060"/>
          <w:sz w:val="18"/>
          <w:szCs w:val="18"/>
        </w:rPr>
        <w:t xml:space="preserve">     </w:t>
      </w:r>
      <w:r w:rsidRPr="009577F0">
        <w:rPr>
          <w:rFonts w:ascii="Arial" w:hAnsi="Arial" w:cs="Arial"/>
          <w:sz w:val="18"/>
          <w:szCs w:val="18"/>
        </w:rPr>
        <w:tab/>
      </w:r>
    </w:p>
    <w:p w:rsidR="00D45BFC" w:rsidRPr="009577F0" w:rsidRDefault="00D45BFC" w:rsidP="00D45BFC">
      <w:pPr>
        <w:spacing w:before="120" w:after="120" w:line="360" w:lineRule="auto"/>
        <w:ind w:right="-29" w:firstLine="708"/>
        <w:jc w:val="both"/>
        <w:rPr>
          <w:rFonts w:ascii="Arial" w:hAnsi="Arial" w:cs="Arial"/>
          <w:sz w:val="18"/>
          <w:szCs w:val="18"/>
        </w:rPr>
      </w:pPr>
      <w:r w:rsidRPr="009577F0">
        <w:rPr>
          <w:rFonts w:ascii="Arial" w:hAnsi="Arial" w:cs="Arial"/>
          <w:sz w:val="18"/>
          <w:szCs w:val="18"/>
        </w:rPr>
        <w:t>Unidad Tramitadora:</w:t>
      </w:r>
      <w:r w:rsidRPr="009577F0">
        <w:rPr>
          <w:rFonts w:ascii="Arial" w:hAnsi="Arial" w:cs="Arial"/>
          <w:sz w:val="18"/>
          <w:szCs w:val="18"/>
        </w:rPr>
        <w:tab/>
      </w:r>
      <w:r w:rsidRPr="009577F0">
        <w:rPr>
          <w:rFonts w:ascii="Arial" w:hAnsi="Arial" w:cs="Arial"/>
          <w:color w:val="002060"/>
          <w:sz w:val="18"/>
          <w:szCs w:val="18"/>
        </w:rPr>
        <w:t xml:space="preserve"> </w:t>
      </w:r>
    </w:p>
    <w:p w:rsidR="00D45BFC" w:rsidRPr="009577F0" w:rsidRDefault="00D45BFC" w:rsidP="00D45BFC">
      <w:pPr>
        <w:spacing w:before="120" w:after="120" w:line="36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9577F0">
        <w:rPr>
          <w:rFonts w:ascii="Arial" w:hAnsi="Arial" w:cs="Arial"/>
          <w:sz w:val="18"/>
          <w:szCs w:val="18"/>
        </w:rPr>
        <w:t>Contra la presente resolución que pone fin a la vía administrativa de conformidad con lo dispuesto en el artículo 147 de la Ley de Cantabria 5/2018, de 22 de noviembre, d</w:t>
      </w:r>
      <w:r w:rsidRPr="009577F0">
        <w:rPr>
          <w:rFonts w:ascii="Arial" w:hAnsi="Arial" w:cs="Arial"/>
          <w:color w:val="222222"/>
          <w:sz w:val="18"/>
          <w:szCs w:val="18"/>
          <w:shd w:val="clear" w:color="auto" w:fill="FFFFFF"/>
        </w:rPr>
        <w:t>e Régimen Jurídico del Gobierno, de la Administración y del Sector Público Institucional de la Comunidad Autónoma de Cantabria, </w:t>
      </w:r>
      <w:r w:rsidRPr="009577F0">
        <w:rPr>
          <w:rFonts w:ascii="Arial" w:hAnsi="Arial" w:cs="Arial"/>
          <w:sz w:val="18"/>
          <w:szCs w:val="18"/>
        </w:rPr>
        <w:t>podrá interponerse recurso potestativo de reposición en el plazo de un mes o ser impugnada directamente ante la jurisdicción contencioso-administrativa.</w:t>
      </w:r>
    </w:p>
    <w:p w:rsidR="00D45BFC" w:rsidRPr="002A76CF" w:rsidRDefault="00D45BFC" w:rsidP="00D45BFC">
      <w:pPr>
        <w:spacing w:before="120" w:after="120" w:line="360" w:lineRule="auto"/>
        <w:jc w:val="center"/>
        <w:rPr>
          <w:rFonts w:ascii="Arial" w:hAnsi="Arial" w:cs="Arial"/>
          <w:sz w:val="19"/>
          <w:szCs w:val="19"/>
        </w:rPr>
      </w:pPr>
      <w:r w:rsidRPr="002A76CF">
        <w:rPr>
          <w:rFonts w:ascii="Arial" w:hAnsi="Arial" w:cs="Arial"/>
          <w:sz w:val="19"/>
          <w:szCs w:val="19"/>
        </w:rPr>
        <w:t xml:space="preserve">En                 </w:t>
      </w:r>
      <w:proofErr w:type="gramStart"/>
      <w:r w:rsidRPr="002A76CF">
        <w:rPr>
          <w:rFonts w:ascii="Arial" w:hAnsi="Arial" w:cs="Arial"/>
          <w:sz w:val="19"/>
          <w:szCs w:val="19"/>
        </w:rPr>
        <w:t xml:space="preserve">  ,</w:t>
      </w:r>
      <w:proofErr w:type="gramEnd"/>
      <w:r w:rsidRPr="002A76CF">
        <w:rPr>
          <w:rFonts w:ascii="Arial" w:hAnsi="Arial" w:cs="Arial"/>
          <w:sz w:val="19"/>
          <w:szCs w:val="19"/>
        </w:rPr>
        <w:t xml:space="preserve"> a          de             </w:t>
      </w:r>
      <w:proofErr w:type="spellStart"/>
      <w:r w:rsidRPr="002A76CF">
        <w:rPr>
          <w:rFonts w:ascii="Arial" w:hAnsi="Arial" w:cs="Arial"/>
          <w:sz w:val="19"/>
          <w:szCs w:val="19"/>
        </w:rPr>
        <w:t>de</w:t>
      </w:r>
      <w:proofErr w:type="spellEnd"/>
      <w:r w:rsidRPr="002A76CF">
        <w:rPr>
          <w:rFonts w:ascii="Arial" w:hAnsi="Arial" w:cs="Arial"/>
          <w:sz w:val="19"/>
          <w:szCs w:val="19"/>
        </w:rPr>
        <w:t xml:space="preserve"> 202</w:t>
      </w:r>
    </w:p>
    <w:p w:rsidR="00D45BFC" w:rsidRPr="002A76CF" w:rsidRDefault="006F4220" w:rsidP="00D45BF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EL CONSEJERO DE EDUCACIÓN, </w:t>
      </w:r>
      <w:r w:rsidR="00D45BFC" w:rsidRPr="002A76CF">
        <w:rPr>
          <w:rFonts w:ascii="Arial" w:hAnsi="Arial" w:cs="Arial"/>
          <w:sz w:val="19"/>
          <w:szCs w:val="19"/>
        </w:rPr>
        <w:t>FORMACIÓN PROFESIONAL</w:t>
      </w:r>
      <w:r>
        <w:rPr>
          <w:rFonts w:ascii="Arial" w:hAnsi="Arial" w:cs="Arial"/>
          <w:sz w:val="19"/>
          <w:szCs w:val="19"/>
        </w:rPr>
        <w:t xml:space="preserve"> Y UNIVERSIDADES</w:t>
      </w:r>
    </w:p>
    <w:p w:rsidR="00D45BFC" w:rsidRPr="002A76CF" w:rsidRDefault="00D45BFC" w:rsidP="00D45BF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P.d. Orden EDU</w:t>
      </w:r>
      <w:r w:rsidRPr="002A76CF">
        <w:rPr>
          <w:rFonts w:ascii="Arial" w:hAnsi="Arial" w:cs="Arial"/>
          <w:sz w:val="19"/>
          <w:szCs w:val="19"/>
        </w:rPr>
        <w:t>/</w:t>
      </w:r>
      <w:r>
        <w:rPr>
          <w:rFonts w:ascii="Arial" w:hAnsi="Arial" w:cs="Arial"/>
          <w:sz w:val="19"/>
          <w:szCs w:val="19"/>
        </w:rPr>
        <w:t>16/2023</w:t>
      </w:r>
    </w:p>
    <w:p w:rsidR="00AD55D6" w:rsidRPr="00B57704" w:rsidRDefault="00D45BFC" w:rsidP="00B57704">
      <w:pPr>
        <w:jc w:val="center"/>
        <w:rPr>
          <w:rFonts w:ascii="Arial" w:hAnsi="Arial" w:cs="Arial"/>
          <w:sz w:val="19"/>
          <w:szCs w:val="19"/>
        </w:rPr>
      </w:pPr>
      <w:r w:rsidRPr="002A76CF">
        <w:rPr>
          <w:rFonts w:ascii="Arial" w:hAnsi="Arial" w:cs="Arial"/>
          <w:sz w:val="19"/>
          <w:szCs w:val="19"/>
        </w:rPr>
        <w:t>EL/LA DIRECTOR/A</w:t>
      </w:r>
      <w:bookmarkStart w:id="0" w:name="_GoBack"/>
      <w:bookmarkEnd w:id="0"/>
      <w:r>
        <w:rPr>
          <w:rFonts w:ascii="Arial" w:hAnsi="Arial" w:cs="Arial"/>
          <w:color w:val="002060"/>
          <w:sz w:val="19"/>
          <w:szCs w:val="19"/>
        </w:rPr>
        <w:t xml:space="preserve"> </w:t>
      </w:r>
    </w:p>
    <w:sectPr w:rsidR="00AD55D6" w:rsidRPr="00B57704" w:rsidSect="001261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701" w:bottom="1135" w:left="1701" w:header="708" w:footer="7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F50" w:rsidRDefault="00173995">
      <w:r>
        <w:separator/>
      </w:r>
    </w:p>
  </w:endnote>
  <w:endnote w:type="continuationSeparator" w:id="0">
    <w:p w:rsidR="006C3F50" w:rsidRDefault="00173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188" w:rsidRDefault="00D45BFC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Página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2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32</w:t>
    </w:r>
    <w:r>
      <w:rPr>
        <w:color w:val="323E4F" w:themeColor="text2" w:themeShade="BF"/>
        <w:sz w:val="24"/>
        <w:szCs w:val="24"/>
      </w:rPr>
      <w:fldChar w:fldCharType="end"/>
    </w:r>
  </w:p>
  <w:p w:rsidR="00126188" w:rsidRDefault="00B5770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188" w:rsidRDefault="00D45BFC" w:rsidP="00126188">
    <w:pPr>
      <w:tabs>
        <w:tab w:val="center" w:pos="4550"/>
        <w:tab w:val="left" w:pos="5818"/>
      </w:tabs>
      <w:ind w:right="260"/>
      <w:jc w:val="center"/>
      <w:rPr>
        <w:color w:val="222A35" w:themeColor="text2" w:themeShade="80"/>
        <w:sz w:val="24"/>
        <w:szCs w:val="24"/>
      </w:rPr>
    </w:pP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B57704">
      <w:rPr>
        <w:noProof/>
        <w:color w:val="323E4F" w:themeColor="text2" w:themeShade="BF"/>
        <w:sz w:val="24"/>
        <w:szCs w:val="24"/>
      </w:rPr>
      <w:t>2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B57704">
      <w:rPr>
        <w:noProof/>
        <w:color w:val="323E4F" w:themeColor="text2" w:themeShade="BF"/>
        <w:sz w:val="24"/>
        <w:szCs w:val="24"/>
      </w:rPr>
      <w:t>2</w:t>
    </w:r>
    <w:r>
      <w:rPr>
        <w:color w:val="323E4F" w:themeColor="text2" w:themeShade="BF"/>
        <w:sz w:val="24"/>
        <w:szCs w:val="24"/>
      </w:rPr>
      <w:fldChar w:fldCharType="end"/>
    </w:r>
  </w:p>
  <w:p w:rsidR="0033580B" w:rsidRDefault="00B57704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220" w:rsidRDefault="006F422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F50" w:rsidRDefault="00173995">
      <w:r>
        <w:separator/>
      </w:r>
    </w:p>
  </w:footnote>
  <w:footnote w:type="continuationSeparator" w:id="0">
    <w:p w:rsidR="006C3F50" w:rsidRDefault="001739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220" w:rsidRDefault="006F422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80B" w:rsidRDefault="00D45BFC" w:rsidP="005513A9">
    <w:pPr>
      <w:pStyle w:val="Encabezado"/>
      <w:tabs>
        <w:tab w:val="clear" w:pos="8504"/>
        <w:tab w:val="left" w:pos="4956"/>
        <w:tab w:val="left" w:pos="5664"/>
        <w:tab w:val="left" w:pos="6372"/>
      </w:tabs>
    </w:pP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80B" w:rsidRDefault="006F4220">
    <w:pPr>
      <w:pStyle w:val="Encabezado"/>
    </w:pPr>
    <w:r>
      <w:rPr>
        <w:noProof/>
      </w:rPr>
      <w:drawing>
        <wp:inline distT="0" distB="0" distL="0" distR="0">
          <wp:extent cx="3077308" cy="821798"/>
          <wp:effectExtent l="0" t="0" r="889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educacion.jf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13590" cy="8314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BFC"/>
    <w:rsid w:val="00173995"/>
    <w:rsid w:val="006C3F50"/>
    <w:rsid w:val="006F4220"/>
    <w:rsid w:val="00AD55D6"/>
    <w:rsid w:val="00B57704"/>
    <w:rsid w:val="00D4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69D4A"/>
  <w15:chartTrackingRefBased/>
  <w15:docId w15:val="{2DC886C8-18D4-428B-82CB-141EAFBF3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5B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45B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45BFC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45B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45BFC"/>
    <w:rPr>
      <w:rFonts w:ascii="Times New Roman" w:eastAsia="Times New Roman" w:hAnsi="Times New Roman" w:cs="Times New Roman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f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416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Fernández García María Teresa</dc:creator>
  <cp:keywords/>
  <dc:description/>
  <cp:lastModifiedBy>Fernández Ibáñez María Isabel</cp:lastModifiedBy>
  <cp:revision>4</cp:revision>
  <dcterms:created xsi:type="dcterms:W3CDTF">2023-06-07T08:10:00Z</dcterms:created>
  <dcterms:modified xsi:type="dcterms:W3CDTF">2024-03-19T10:44:00Z</dcterms:modified>
</cp:coreProperties>
</file>